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內文"/>
        <w:jc w:val="center"/>
        <w:rPr>
          <w:rFonts w:ascii="PingFang TC Semibold" w:cs="PingFang TC Semibold" w:hAnsi="PingFang TC Semibold" w:eastAsia="PingFang TC Semibold"/>
          <w:sz w:val="46"/>
          <w:szCs w:val="46"/>
        </w:rPr>
      </w:pPr>
      <w:r>
        <w:rPr>
          <w:rFonts w:eastAsia="PingFang TC Semibold" w:hint="eastAsia"/>
          <w:sz w:val="46"/>
          <w:szCs w:val="46"/>
          <w:rtl w:val="0"/>
          <w:lang w:val="zh-TW" w:eastAsia="zh-TW"/>
        </w:rPr>
        <w:t>測試文件</w:t>
      </w:r>
    </w:p>
    <w:p>
      <w:pPr>
        <w:pStyle w:val="內文"/>
        <w:jc w:val="center"/>
        <w:rPr>
          <w:rFonts w:ascii="PingFang TC Semibold" w:cs="PingFang TC Semibold" w:hAnsi="PingFang TC Semibold" w:eastAsia="PingFang TC Semibold"/>
          <w:sz w:val="46"/>
          <w:szCs w:val="46"/>
        </w:rPr>
      </w:pPr>
    </w:p>
    <w:p>
      <w:pPr>
        <w:pStyle w:val="預設值"/>
        <w:suppressAutoHyphens w:val="1"/>
        <w:spacing w:before="0" w:after="720" w:line="240" w:lineRule="auto"/>
        <w:jc w:val="both"/>
        <w:rPr>
          <w:outline w:val="0"/>
          <w:color w:val="4f4f4f"/>
          <w:sz w:val="34"/>
          <w:szCs w:val="34"/>
          <w:shd w:val="clear" w:color="auto" w:fill="fffbf7"/>
          <w14:textFill>
            <w14:solidFill>
              <w14:srgbClr w14:val="4F4F4F"/>
            </w14:solidFill>
          </w14:textFill>
        </w:rPr>
      </w:pPr>
      <w:r>
        <w:rPr>
          <w:outline w:val="0"/>
          <w:color w:val="4f4f4f"/>
          <w:sz w:val="34"/>
          <w:szCs w:val="34"/>
          <w:shd w:val="clear" w:color="auto" w:fill="fffbf7"/>
          <w:rtl w:val="0"/>
          <w:lang w:val="zh-TW" w:eastAsia="zh-TW"/>
          <w14:textFill>
            <w14:solidFill>
              <w14:srgbClr w14:val="4F4F4F"/>
            </w14:solidFill>
          </w14:textFill>
        </w:rPr>
        <w:t>要解決亂尿尿，必須先理解貓咪在自然界中的原始本能。貓在野外既是掠食者也是獵物，這種雙重身份決定了牠們對排泄行為的極度謹慎與對環境的高度敏感。當生活環境壓力大增時，貓咪的行為會出現演化上的「補償機制」。</w:t>
      </w:r>
    </w:p>
    <w:p>
      <w:pPr>
        <w:pStyle w:val="預設值"/>
        <w:numPr>
          <w:ilvl w:val="0"/>
          <w:numId w:val="2"/>
        </w:numPr>
        <w:suppressAutoHyphens w:val="1"/>
        <w:spacing w:before="0" w:line="240" w:lineRule="auto"/>
        <w:jc w:val="left"/>
        <w:rPr>
          <w:outline w:val="0"/>
          <w:color w:val="4f4f4f"/>
          <w:sz w:val="34"/>
          <w:szCs w:val="34"/>
          <w:shd w:val="clear" w:color="auto" w:fill="fffbf7"/>
          <w:lang w:val="zh-TW" w:eastAsia="zh-TW"/>
          <w14:textFill>
            <w14:solidFill>
              <w14:srgbClr w14:val="4F4F4F"/>
            </w14:solidFill>
          </w14:textFill>
        </w:rPr>
      </w:pPr>
      <w:r>
        <w:rPr>
          <w:rFonts w:eastAsia="PingFang TC Semibold" w:hint="eastAsia"/>
          <w:outline w:val="0"/>
          <w:color w:val="4f4f4f"/>
          <w:sz w:val="34"/>
          <w:szCs w:val="34"/>
          <w:shd w:val="clear" w:color="auto" w:fill="fffbf7"/>
          <w:rtl w:val="0"/>
          <w:lang w:val="zh-TW" w:eastAsia="zh-TW"/>
          <w14:textFill>
            <w14:solidFill>
              <w14:srgbClr w14:val="4F4F4F"/>
            </w14:solidFill>
          </w14:textFill>
        </w:rPr>
        <w:t xml:space="preserve">掩埋本能 </w:t>
      </w:r>
      <w:r>
        <w:rPr>
          <w:rFonts w:ascii="PingFang TC Semibold" w:hAnsi="PingFang TC Semibold"/>
          <w:outline w:val="0"/>
          <w:color w:val="4f4f4f"/>
          <w:sz w:val="34"/>
          <w:szCs w:val="34"/>
          <w:shd w:val="clear" w:color="auto" w:fill="fffbf7"/>
          <w:rtl w:val="0"/>
          <w:lang w:val="pt-PT"/>
          <w14:textFill>
            <w14:solidFill>
              <w14:srgbClr w14:val="4F4F4F"/>
            </w14:solidFill>
          </w14:textFill>
        </w:rPr>
        <w:t xml:space="preserve">vs. </w:t>
      </w:r>
      <w:r>
        <w:rPr>
          <w:rFonts w:eastAsia="PingFang TC Semibold" w:hint="eastAsia"/>
          <w:outline w:val="0"/>
          <w:color w:val="4f4f4f"/>
          <w:sz w:val="34"/>
          <w:szCs w:val="34"/>
          <w:shd w:val="clear" w:color="auto" w:fill="fffbf7"/>
          <w:rtl w:val="0"/>
          <w:lang w:val="ja-JP" w:eastAsia="ja-JP"/>
          <w14:textFill>
            <w14:solidFill>
              <w14:srgbClr w14:val="4F4F4F"/>
            </w14:solidFill>
          </w14:textFill>
        </w:rPr>
        <w:t>領地標記：</w:t>
      </w:r>
      <w:r>
        <w:rPr>
          <w:rFonts w:ascii="PingFang TC Regular" w:hAnsi="PingFang TC Regular" w:hint="default"/>
          <w:outline w:val="0"/>
          <w:color w:val="4f4f4f"/>
          <w:sz w:val="34"/>
          <w:szCs w:val="34"/>
          <w:shd w:val="clear" w:color="auto" w:fill="fffbf7"/>
          <w:rtl w:val="0"/>
          <w14:textFill>
            <w14:solidFill>
              <w14:srgbClr w14:val="4F4F4F"/>
            </w14:solidFill>
          </w14:textFill>
        </w:rPr>
        <w:t> </w:t>
      </w:r>
      <w:r>
        <w:rPr>
          <w:outline w:val="0"/>
          <w:color w:val="4f4f4f"/>
          <w:sz w:val="34"/>
          <w:szCs w:val="34"/>
          <w:shd w:val="clear" w:color="auto" w:fill="fffbf7"/>
          <w:rtl w:val="0"/>
          <w:lang w:val="zh-TW" w:eastAsia="zh-TW"/>
          <w14:textFill>
            <w14:solidFill>
              <w14:srgbClr w14:val="4F4F4F"/>
            </w14:solidFill>
          </w14:textFill>
        </w:rPr>
        <w:t>在低壓狀態下，貓會掩埋排泄物以躲避天敵。但當壓力升高時，牠們會切換為「領地標記模式」，利用尿液中的費洛蒙（</w:t>
      </w:r>
      <w:r>
        <w:rPr>
          <w:rFonts w:ascii="PingFang TC Regular" w:hAnsi="PingFang TC Regular"/>
          <w:outline w:val="0"/>
          <w:color w:val="4f4f4f"/>
          <w:sz w:val="34"/>
          <w:szCs w:val="34"/>
          <w:shd w:val="clear" w:color="auto" w:fill="fffbf7"/>
          <w:rtl w:val="0"/>
          <w:lang w:val="it-IT"/>
          <w14:textFill>
            <w14:solidFill>
              <w14:srgbClr w14:val="4F4F4F"/>
            </w14:solidFill>
          </w14:textFill>
        </w:rPr>
        <w:t>Pheromones</w:t>
      </w:r>
      <w:r>
        <w:rPr>
          <w:outline w:val="0"/>
          <w:color w:val="4f4f4f"/>
          <w:sz w:val="34"/>
          <w:szCs w:val="34"/>
          <w:shd w:val="clear" w:color="auto" w:fill="fffbf7"/>
          <w:rtl w:val="0"/>
          <w:lang w:val="zh-TW" w:eastAsia="zh-TW"/>
          <w14:textFill>
            <w14:solidFill>
              <w14:srgbClr w14:val="4F4F4F"/>
            </w14:solidFill>
          </w14:textFill>
        </w:rPr>
        <w:t>）建立嗅覺防禦線，這是一種心理上的自我安撫。</w:t>
      </w:r>
    </w:p>
    <w:p>
      <w:pPr>
        <w:pStyle w:val="預設值"/>
        <w:numPr>
          <w:ilvl w:val="0"/>
          <w:numId w:val="2"/>
        </w:numPr>
        <w:suppressAutoHyphens w:val="1"/>
        <w:spacing w:before="0" w:line="240" w:lineRule="auto"/>
        <w:jc w:val="left"/>
        <w:rPr>
          <w:outline w:val="0"/>
          <w:color w:val="4f4f4f"/>
          <w:sz w:val="34"/>
          <w:szCs w:val="34"/>
          <w:shd w:val="clear" w:color="auto" w:fill="fffbf7"/>
          <w:lang w:val="zh-TW" w:eastAsia="zh-TW"/>
          <w14:textFill>
            <w14:solidFill>
              <w14:srgbClr w14:val="4F4F4F"/>
            </w14:solidFill>
          </w14:textFill>
        </w:rPr>
      </w:pPr>
      <w:r>
        <w:rPr>
          <w:rFonts w:eastAsia="PingFang TC Semibold" w:hint="eastAsia"/>
          <w:outline w:val="0"/>
          <w:color w:val="4f4f4f"/>
          <w:sz w:val="34"/>
          <w:szCs w:val="34"/>
          <w:shd w:val="clear" w:color="auto" w:fill="fffbf7"/>
          <w:rtl w:val="0"/>
          <w:lang w:val="zh-TW" w:eastAsia="zh-TW"/>
          <w14:textFill>
            <w14:solidFill>
              <w14:srgbClr w14:val="4F4F4F"/>
            </w14:solidFill>
          </w14:textFill>
        </w:rPr>
        <w:t>沙發與床墊的生理誘惑：</w:t>
      </w:r>
      <w:r>
        <w:rPr>
          <w:rFonts w:ascii="PingFang TC Regular" w:hAnsi="PingFang TC Regular" w:hint="default"/>
          <w:outline w:val="0"/>
          <w:color w:val="4f4f4f"/>
          <w:sz w:val="34"/>
          <w:szCs w:val="34"/>
          <w:shd w:val="clear" w:color="auto" w:fill="fffbf7"/>
          <w:rtl w:val="0"/>
          <w14:textFill>
            <w14:solidFill>
              <w14:srgbClr w14:val="4F4F4F"/>
            </w14:solidFill>
          </w14:textFill>
        </w:rPr>
        <w:t> </w:t>
      </w:r>
      <w:r>
        <w:rPr>
          <w:outline w:val="0"/>
          <w:color w:val="4f4f4f"/>
          <w:sz w:val="34"/>
          <w:szCs w:val="34"/>
          <w:shd w:val="clear" w:color="auto" w:fill="fffbf7"/>
          <w:rtl w:val="0"/>
          <w:lang w:val="zh-TW" w:eastAsia="zh-TW"/>
          <w14:textFill>
            <w14:solidFill>
              <w14:srgbClr w14:val="4F4F4F"/>
            </w14:solidFill>
          </w14:textFill>
        </w:rPr>
        <w:t>床墊具備絕佳吸水性，能讓尿液迅速下滲，使貓咪在排尿後保持腳掌乾爽。此外，這些家具充滿了主人（安全感來源）的味道，將尿液與主人味道混合，對焦慮的貓而言能產生強大的「集體領地感」。</w:t>
      </w:r>
    </w:p>
    <w:p>
      <w:pPr>
        <w:pStyle w:val="預設值"/>
        <w:suppressAutoHyphens w:val="1"/>
        <w:spacing w:before="0" w:line="240" w:lineRule="auto"/>
        <w:jc w:val="both"/>
      </w:pPr>
      <w:r>
        <w:rPr>
          <w:rFonts w:ascii="PingFang TC Semibold" w:hAnsi="PingFang TC Semibold" w:hint="default"/>
          <w:outline w:val="0"/>
          <w:color w:val="4f4f4f"/>
          <w:sz w:val="34"/>
          <w:szCs w:val="34"/>
          <w:shd w:val="clear" w:color="auto" w:fill="fffbf7"/>
          <w:rtl w:val="0"/>
          <w14:textFill>
            <w14:solidFill>
              <w14:srgbClr w14:val="4F4F4F"/>
            </w14:solidFill>
          </w14:textFill>
        </w:rPr>
        <w:t xml:space="preserve">※ </w:t>
      </w:r>
      <w:r>
        <w:rPr>
          <w:rFonts w:eastAsia="PingFang TC Semibold" w:hint="eastAsia"/>
          <w:outline w:val="0"/>
          <w:color w:val="4f4f4f"/>
          <w:sz w:val="34"/>
          <w:szCs w:val="34"/>
          <w:shd w:val="clear" w:color="auto" w:fill="fffbf7"/>
          <w:rtl w:val="0"/>
          <w:lang w:val="zh-TW" w:eastAsia="zh-TW"/>
          <w14:textFill>
            <w14:solidFill>
              <w14:srgbClr w14:val="4F4F4F"/>
            </w14:solidFill>
          </w14:textFill>
        </w:rPr>
        <w:t>實戰筆記：</w:t>
      </w:r>
      <w:r>
        <w:rPr>
          <w:rFonts w:ascii="PingFang TC Regular" w:hAnsi="PingFang TC Regular" w:hint="default"/>
          <w:outline w:val="0"/>
          <w:color w:val="4f4f4f"/>
          <w:sz w:val="34"/>
          <w:szCs w:val="34"/>
          <w:shd w:val="clear" w:color="auto" w:fill="fffbf7"/>
          <w:rtl w:val="0"/>
          <w14:textFill>
            <w14:solidFill>
              <w14:srgbClr w14:val="4F4F4F"/>
            </w14:solidFill>
          </w14:textFill>
        </w:rPr>
        <w:t> </w:t>
      </w:r>
      <w:r>
        <w:rPr>
          <w:outline w:val="0"/>
          <w:color w:val="4f4f4f"/>
          <w:sz w:val="34"/>
          <w:szCs w:val="34"/>
          <w:shd w:val="clear" w:color="auto" w:fill="fffbf7"/>
          <w:rtl w:val="0"/>
          <w:lang w:val="zh-TW" w:eastAsia="zh-TW"/>
          <w14:textFill>
            <w14:solidFill>
              <w14:srgbClr w14:val="4F4F4F"/>
            </w14:solidFill>
          </w14:textFill>
        </w:rPr>
        <w:t>建立良好的如廁習慣應從幼年開始，若你家是剛進門的新成員，建議同步檢視</w:t>
      </w:r>
      <w:r>
        <w:rPr>
          <w:rFonts w:ascii="PingFang TC Regular" w:hAnsi="PingFang TC Regular" w:hint="default"/>
          <w:outline w:val="0"/>
          <w:color w:val="4f4f4f"/>
          <w:sz w:val="34"/>
          <w:szCs w:val="34"/>
          <w:shd w:val="clear" w:color="auto" w:fill="fffbf7"/>
          <w:rtl w:val="0"/>
          <w14:textFill>
            <w14:solidFill>
              <w14:srgbClr w14:val="4F4F4F"/>
            </w14:solidFill>
          </w14:textFill>
        </w:rPr>
        <w:t> </w:t>
      </w:r>
      <w:r>
        <w:rPr>
          <w:rStyle w:val="Hyperlink.0"/>
          <w:rFonts w:ascii="PingFang TC Semibold" w:cs="PingFang TC Semibold" w:hAnsi="PingFang TC Semibold" w:eastAsia="PingFang TC Semibold"/>
          <w:outline w:val="0"/>
          <w:color w:val="222222"/>
          <w:sz w:val="34"/>
          <w:szCs w:val="34"/>
          <w:shd w:val="clear" w:color="auto" w:fill="fffbf7"/>
          <w14:textFill>
            <w14:solidFill>
              <w14:srgbClr w14:val="222222"/>
            </w14:solidFill>
          </w14:textFill>
        </w:rPr>
        <w:fldChar w:fldCharType="begin" w:fldLock="0"/>
      </w:r>
      <w:r>
        <w:rPr>
          <w:rStyle w:val="Hyperlink.0"/>
          <w:rFonts w:ascii="PingFang TC Semibold" w:cs="PingFang TC Semibold" w:hAnsi="PingFang TC Semibold" w:eastAsia="PingFang TC Semibold"/>
          <w:outline w:val="0"/>
          <w:color w:val="222222"/>
          <w:sz w:val="34"/>
          <w:szCs w:val="34"/>
          <w:shd w:val="clear" w:color="auto" w:fill="fffbf7"/>
          <w14:textFill>
            <w14:solidFill>
              <w14:srgbClr w14:val="222222"/>
            </w14:solidFill>
          </w14:textFill>
        </w:rPr>
        <w:instrText xml:space="preserve"> HYPERLINK "https://www.petflic.com/article/kitten-socialization-period-and-desensitization-guide"</w:instrText>
      </w:r>
      <w:r>
        <w:rPr>
          <w:rStyle w:val="Hyperlink.0"/>
          <w:rFonts w:ascii="PingFang TC Semibold" w:cs="PingFang TC Semibold" w:hAnsi="PingFang TC Semibold" w:eastAsia="PingFang TC Semibold"/>
          <w:outline w:val="0"/>
          <w:color w:val="222222"/>
          <w:sz w:val="34"/>
          <w:szCs w:val="34"/>
          <w:shd w:val="clear" w:color="auto" w:fill="fffbf7"/>
          <w14:textFill>
            <w14:solidFill>
              <w14:srgbClr w14:val="222222"/>
            </w14:solidFill>
          </w14:textFill>
        </w:rPr>
        <w:fldChar w:fldCharType="separate" w:fldLock="0"/>
      </w:r>
      <w:r>
        <w:rPr>
          <w:rStyle w:val="Hyperlink.0"/>
          <w:rFonts w:eastAsia="PingFang TC Semibold" w:hint="eastAsia"/>
          <w:outline w:val="0"/>
          <w:color w:val="222222"/>
          <w:sz w:val="34"/>
          <w:szCs w:val="34"/>
          <w:shd w:val="clear" w:color="auto" w:fill="fffbf7"/>
          <w:rtl w:val="0"/>
          <w:lang w:val="zh-TW" w:eastAsia="zh-TW"/>
          <w14:textFill>
            <w14:solidFill>
              <w14:srgbClr w14:val="222222"/>
            </w14:solidFill>
          </w14:textFill>
        </w:rPr>
        <w:t>幼貓社會化指南：如何讓貓咪從小建立對環境的信任感</w:t>
      </w:r>
      <w:r>
        <w:rPr>
          <w:outline w:val="0"/>
          <w:color w:val="4f4f4f"/>
          <w:sz w:val="34"/>
          <w:szCs w:val="34"/>
          <w:shd w:val="clear" w:color="auto" w:fill="fffbf7"/>
          <w14:textFill>
            <w14:solidFill>
              <w14:srgbClr w14:val="4F4F4F"/>
            </w14:solidFill>
          </w14:textFill>
        </w:rPr>
        <w:fldChar w:fldCharType="end" w:fldLock="0"/>
      </w:r>
      <w:r>
        <w:rPr>
          <w:outline w:val="0"/>
          <w:color w:val="4f4f4f"/>
          <w:sz w:val="34"/>
          <w:szCs w:val="34"/>
          <w:shd w:val="clear" w:color="auto" w:fill="fffbf7"/>
          <w:rtl w:val="0"/>
          <w14:textFill>
            <w14:solidFill>
              <w14:srgbClr w14:val="4F4F4F"/>
            </w14:solidFill>
          </w14:textFill>
        </w:rPr>
        <w:t>。</w:t>
      </w:r>
      <w:r>
        <w:rPr>
          <w:rStyle w:val="無"/>
          <w:outline w:val="0"/>
          <w:color w:val="4f4f4f"/>
          <w:sz w:val="34"/>
          <w:szCs w:val="34"/>
          <w:shd w:val="clear" w:color="auto" w:fill="ffffff"/>
          <w14:textFill>
            <w14:solidFill>
              <w14:srgbClr w14:val="4F4F4F"/>
            </w14:solidFill>
          </w14:textFill>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PingFang TC Regular">
    <w:charset w:val="00"/>
    <w:family w:val="roman"/>
    <w:pitch w:val="default"/>
  </w:font>
  <w:font w:name="PingFang TC Semi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項目符號"/>
  </w:abstractNum>
  <w:abstractNum w:abstractNumId="1">
    <w:multiLevelType w:val="hybridMultilevel"/>
    <w:styleLink w:val="項目符號"/>
    <w:lvl w:ilvl="0">
      <w:start w:val="1"/>
      <w:numFmt w:val="bullet"/>
      <w:suff w:val="tab"/>
      <w:lvlText w:val="•"/>
      <w:lvlJc w:val="left"/>
      <w:pPr>
        <w:ind w:left="720" w:hanging="500"/>
      </w:pPr>
      <w:rPr>
        <w:rFonts w:ascii="PingFang TC Semibold" w:cs="PingFang TC Semibold" w:hAnsi="PingFang TC Semibold" w:eastAsia="PingFang TC Semibold"/>
        <w:b w:val="0"/>
        <w:bCs w:val="0"/>
        <w:i w:val="0"/>
        <w:iCs w:val="0"/>
        <w:caps w:val="0"/>
        <w:smallCaps w:val="0"/>
        <w:strike w:val="0"/>
        <w:dstrike w:val="0"/>
        <w:outline w:val="0"/>
        <w:emboss w:val="0"/>
        <w:imprint w:val="0"/>
        <w:color w:val="4f4f4f"/>
        <w:spacing w:val="0"/>
        <w:w w:val="100"/>
        <w:kern w:val="0"/>
        <w:position w:val="0"/>
        <w:highlight w:val="none"/>
        <w:vertAlign w:val="baseline"/>
      </w:rPr>
    </w:lvl>
    <w:lvl w:ilvl="1">
      <w:start w:val="1"/>
      <w:numFmt w:val="bullet"/>
      <w:suff w:val="tab"/>
      <w:lvlText w:val="•"/>
      <w:lvlJc w:val="left"/>
      <w:pPr>
        <w:ind w:left="940" w:hanging="500"/>
      </w:pPr>
      <w:rPr>
        <w:rFonts w:ascii="PingFang TC Semibold" w:cs="PingFang TC Semibold" w:hAnsi="PingFang TC Semibold" w:eastAsia="PingFang TC Semibold"/>
        <w:b w:val="0"/>
        <w:bCs w:val="0"/>
        <w:i w:val="0"/>
        <w:iCs w:val="0"/>
        <w:caps w:val="0"/>
        <w:smallCaps w:val="0"/>
        <w:strike w:val="0"/>
        <w:dstrike w:val="0"/>
        <w:outline w:val="0"/>
        <w:emboss w:val="0"/>
        <w:imprint w:val="0"/>
        <w:color w:val="4f4f4f"/>
        <w:spacing w:val="0"/>
        <w:w w:val="100"/>
        <w:kern w:val="0"/>
        <w:position w:val="-2"/>
        <w:highlight w:val="none"/>
        <w:vertAlign w:val="baseline"/>
      </w:rPr>
    </w:lvl>
    <w:lvl w:ilvl="2">
      <w:start w:val="1"/>
      <w:numFmt w:val="bullet"/>
      <w:suff w:val="tab"/>
      <w:lvlText w:val="•"/>
      <w:lvlJc w:val="left"/>
      <w:pPr>
        <w:ind w:left="1160" w:hanging="500"/>
      </w:pPr>
      <w:rPr>
        <w:rFonts w:ascii="PingFang TC Semibold" w:cs="PingFang TC Semibold" w:hAnsi="PingFang TC Semibold" w:eastAsia="PingFang TC Semibold"/>
        <w:b w:val="0"/>
        <w:bCs w:val="0"/>
        <w:i w:val="0"/>
        <w:iCs w:val="0"/>
        <w:caps w:val="0"/>
        <w:smallCaps w:val="0"/>
        <w:strike w:val="0"/>
        <w:dstrike w:val="0"/>
        <w:outline w:val="0"/>
        <w:emboss w:val="0"/>
        <w:imprint w:val="0"/>
        <w:color w:val="4f4f4f"/>
        <w:spacing w:val="0"/>
        <w:w w:val="100"/>
        <w:kern w:val="0"/>
        <w:position w:val="-2"/>
        <w:highlight w:val="none"/>
        <w:vertAlign w:val="baseline"/>
      </w:rPr>
    </w:lvl>
    <w:lvl w:ilvl="3">
      <w:start w:val="1"/>
      <w:numFmt w:val="bullet"/>
      <w:suff w:val="tab"/>
      <w:lvlText w:val="•"/>
      <w:lvlJc w:val="left"/>
      <w:pPr>
        <w:ind w:left="1380" w:hanging="500"/>
      </w:pPr>
      <w:rPr>
        <w:rFonts w:ascii="PingFang TC Semibold" w:cs="PingFang TC Semibold" w:hAnsi="PingFang TC Semibold" w:eastAsia="PingFang TC Semibold"/>
        <w:b w:val="0"/>
        <w:bCs w:val="0"/>
        <w:i w:val="0"/>
        <w:iCs w:val="0"/>
        <w:caps w:val="0"/>
        <w:smallCaps w:val="0"/>
        <w:strike w:val="0"/>
        <w:dstrike w:val="0"/>
        <w:outline w:val="0"/>
        <w:emboss w:val="0"/>
        <w:imprint w:val="0"/>
        <w:color w:val="4f4f4f"/>
        <w:spacing w:val="0"/>
        <w:w w:val="100"/>
        <w:kern w:val="0"/>
        <w:position w:val="-2"/>
        <w:highlight w:val="none"/>
        <w:vertAlign w:val="baseline"/>
      </w:rPr>
    </w:lvl>
    <w:lvl w:ilvl="4">
      <w:start w:val="1"/>
      <w:numFmt w:val="bullet"/>
      <w:suff w:val="tab"/>
      <w:lvlText w:val="•"/>
      <w:lvlJc w:val="left"/>
      <w:pPr>
        <w:ind w:left="1600" w:hanging="500"/>
      </w:pPr>
      <w:rPr>
        <w:rFonts w:ascii="PingFang TC Semibold" w:cs="PingFang TC Semibold" w:hAnsi="PingFang TC Semibold" w:eastAsia="PingFang TC Semibold"/>
        <w:b w:val="0"/>
        <w:bCs w:val="0"/>
        <w:i w:val="0"/>
        <w:iCs w:val="0"/>
        <w:caps w:val="0"/>
        <w:smallCaps w:val="0"/>
        <w:strike w:val="0"/>
        <w:dstrike w:val="0"/>
        <w:outline w:val="0"/>
        <w:emboss w:val="0"/>
        <w:imprint w:val="0"/>
        <w:color w:val="4f4f4f"/>
        <w:spacing w:val="0"/>
        <w:w w:val="100"/>
        <w:kern w:val="0"/>
        <w:position w:val="-2"/>
        <w:highlight w:val="none"/>
        <w:vertAlign w:val="baseline"/>
      </w:rPr>
    </w:lvl>
    <w:lvl w:ilvl="5">
      <w:start w:val="1"/>
      <w:numFmt w:val="bullet"/>
      <w:suff w:val="tab"/>
      <w:lvlText w:val="•"/>
      <w:lvlJc w:val="left"/>
      <w:pPr>
        <w:ind w:left="1820" w:hanging="500"/>
      </w:pPr>
      <w:rPr>
        <w:rFonts w:ascii="PingFang TC Semibold" w:cs="PingFang TC Semibold" w:hAnsi="PingFang TC Semibold" w:eastAsia="PingFang TC Semibold"/>
        <w:b w:val="0"/>
        <w:bCs w:val="0"/>
        <w:i w:val="0"/>
        <w:iCs w:val="0"/>
        <w:caps w:val="0"/>
        <w:smallCaps w:val="0"/>
        <w:strike w:val="0"/>
        <w:dstrike w:val="0"/>
        <w:outline w:val="0"/>
        <w:emboss w:val="0"/>
        <w:imprint w:val="0"/>
        <w:color w:val="4f4f4f"/>
        <w:spacing w:val="0"/>
        <w:w w:val="100"/>
        <w:kern w:val="0"/>
        <w:position w:val="-2"/>
        <w:highlight w:val="none"/>
        <w:vertAlign w:val="baseline"/>
      </w:rPr>
    </w:lvl>
    <w:lvl w:ilvl="6">
      <w:start w:val="1"/>
      <w:numFmt w:val="bullet"/>
      <w:suff w:val="tab"/>
      <w:lvlText w:val="•"/>
      <w:lvlJc w:val="left"/>
      <w:pPr>
        <w:ind w:left="2040" w:hanging="500"/>
      </w:pPr>
      <w:rPr>
        <w:rFonts w:ascii="PingFang TC Semibold" w:cs="PingFang TC Semibold" w:hAnsi="PingFang TC Semibold" w:eastAsia="PingFang TC Semibold"/>
        <w:b w:val="0"/>
        <w:bCs w:val="0"/>
        <w:i w:val="0"/>
        <w:iCs w:val="0"/>
        <w:caps w:val="0"/>
        <w:smallCaps w:val="0"/>
        <w:strike w:val="0"/>
        <w:dstrike w:val="0"/>
        <w:outline w:val="0"/>
        <w:emboss w:val="0"/>
        <w:imprint w:val="0"/>
        <w:color w:val="4f4f4f"/>
        <w:spacing w:val="0"/>
        <w:w w:val="100"/>
        <w:kern w:val="0"/>
        <w:position w:val="-2"/>
        <w:highlight w:val="none"/>
        <w:vertAlign w:val="baseline"/>
      </w:rPr>
    </w:lvl>
    <w:lvl w:ilvl="7">
      <w:start w:val="1"/>
      <w:numFmt w:val="bullet"/>
      <w:suff w:val="tab"/>
      <w:lvlText w:val="•"/>
      <w:lvlJc w:val="left"/>
      <w:pPr>
        <w:ind w:left="2260" w:hanging="500"/>
      </w:pPr>
      <w:rPr>
        <w:rFonts w:ascii="PingFang TC Semibold" w:cs="PingFang TC Semibold" w:hAnsi="PingFang TC Semibold" w:eastAsia="PingFang TC Semibold"/>
        <w:b w:val="0"/>
        <w:bCs w:val="0"/>
        <w:i w:val="0"/>
        <w:iCs w:val="0"/>
        <w:caps w:val="0"/>
        <w:smallCaps w:val="0"/>
        <w:strike w:val="0"/>
        <w:dstrike w:val="0"/>
        <w:outline w:val="0"/>
        <w:emboss w:val="0"/>
        <w:imprint w:val="0"/>
        <w:color w:val="4f4f4f"/>
        <w:spacing w:val="0"/>
        <w:w w:val="100"/>
        <w:kern w:val="0"/>
        <w:position w:val="-2"/>
        <w:highlight w:val="none"/>
        <w:vertAlign w:val="baseline"/>
      </w:rPr>
    </w:lvl>
    <w:lvl w:ilvl="8">
      <w:start w:val="1"/>
      <w:numFmt w:val="bullet"/>
      <w:suff w:val="tab"/>
      <w:lvlText w:val="•"/>
      <w:lvlJc w:val="left"/>
      <w:pPr>
        <w:ind w:left="2480" w:hanging="500"/>
      </w:pPr>
      <w:rPr>
        <w:rFonts w:ascii="PingFang TC Semibold" w:cs="PingFang TC Semibold" w:hAnsi="PingFang TC Semibold" w:eastAsia="PingFang TC Semibold"/>
        <w:b w:val="0"/>
        <w:bCs w:val="0"/>
        <w:i w:val="0"/>
        <w:iCs w:val="0"/>
        <w:caps w:val="0"/>
        <w:smallCaps w:val="0"/>
        <w:strike w:val="0"/>
        <w:dstrike w:val="0"/>
        <w:outline w:val="0"/>
        <w:emboss w:val="0"/>
        <w:imprint w:val="0"/>
        <w:color w:val="4f4f4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內文">
    <w:name w:val="內文"/>
    <w:next w:val="內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PingFang TC Regular" w:hint="eastAsia"/>
      <w:b w:val="0"/>
      <w:bCs w:val="0"/>
      <w:i w:val="0"/>
      <w:iCs w:val="0"/>
      <w:caps w:val="0"/>
      <w:smallCaps w:val="0"/>
      <w:strike w:val="0"/>
      <w:dstrike w:val="0"/>
      <w:outline w:val="0"/>
      <w:color w:val="000000"/>
      <w:spacing w:val="0"/>
      <w:kern w:val="0"/>
      <w:position w:val="0"/>
      <w:sz w:val="22"/>
      <w:szCs w:val="22"/>
      <w:u w:val="none"/>
      <w:shd w:val="nil" w:color="auto" w:fill="auto"/>
      <w:vertAlign w:val="baseline"/>
      <w:lang w:val="zh-TW" w:eastAsia="zh-TW"/>
      <w14:textOutline>
        <w14:noFill/>
      </w14:textOutline>
      <w14:textFill>
        <w14:solidFill>
          <w14:srgbClr w14:val="000000"/>
        </w14:solidFill>
      </w14:textFill>
    </w:rPr>
  </w:style>
  <w:style w:type="paragraph" w:styleId="預設值">
    <w:name w:val="預設值"/>
    <w:next w:val="預設值"/>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Unicode MS" w:cs="Arial Unicode MS" w:hAnsi="Arial Unicode MS" w:eastAsia="PingFang TC Regular" w:hint="eastAsia"/>
      <w:b w:val="0"/>
      <w:bCs w:val="0"/>
      <w:i w:val="0"/>
      <w:iCs w:val="0"/>
      <w:caps w:val="0"/>
      <w:smallCaps w:val="0"/>
      <w:strike w:val="0"/>
      <w:dstrike w:val="0"/>
      <w:outline w:val="0"/>
      <w:color w:val="000000"/>
      <w:spacing w:val="0"/>
      <w:kern w:val="0"/>
      <w:position w:val="0"/>
      <w:sz w:val="24"/>
      <w:szCs w:val="24"/>
      <w:u w:val="none"/>
      <w:shd w:val="nil" w:color="auto" w:fill="auto"/>
      <w:vertAlign w:val="baseline"/>
      <w:lang w:val="zh-TW" w:eastAsia="zh-TW"/>
      <w14:textOutline>
        <w14:noFill/>
      </w14:textOutline>
      <w14:textFill>
        <w14:solidFill>
          <w14:srgbClr w14:val="000000"/>
        </w14:solidFill>
      </w14:textFill>
    </w:rPr>
  </w:style>
  <w:style w:type="numbering" w:styleId="項目符號">
    <w:name w:val="項目符號"/>
    <w:pPr>
      <w:numPr>
        <w:numId w:val="1"/>
      </w:numPr>
    </w:pPr>
  </w:style>
  <w:style w:type="character" w:styleId="無">
    <w:name w:val="無"/>
  </w:style>
  <w:style w:type="character" w:styleId="Hyperlink.0">
    <w:name w:val="Hyperlink.0"/>
    <w:basedOn w:val="無"/>
    <w:next w:val="Hyperlink.0"/>
    <w:rPr>
      <w:b w:val="1"/>
      <w:bCs w:val="1"/>
      <w:outline w:val="0"/>
      <w:color w:val="222222"/>
      <w14:textFill>
        <w14:solidFill>
          <w14:srgbClr w14:val="222222"/>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TC Semibold"/>
        <a:ea typeface="PingFang TC Semibold"/>
        <a:cs typeface="PingFang TC Semibold"/>
      </a:majorFont>
      <a:minorFont>
        <a:latin typeface="PingFang TC Regular"/>
        <a:ea typeface="PingFang TC Regular"/>
        <a:cs typeface="PingFang TC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PingFang TC Medium"/>
            <a:ea typeface="PingFang TC Medium"/>
            <a:cs typeface="PingFang TC Medium"/>
            <a:sym typeface="PingFang TC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